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Liberation Sans" w:hAnsi="Liberation Sans"/>
          <w:b/>
          <w:color w:val="12355B"/>
          <w:sz w:val="36"/>
        </w:rPr>
        <w:t>ПОЛИТИКА КОНФИДЕНЦИАЛЬНОСТИ</w:t>
      </w:r>
    </w:p>
    <w:p>
      <w:pPr>
        <w:jc w:val="center"/>
      </w:pPr>
      <w:r>
        <w:rPr>
          <w:rFonts w:ascii="Liberation Sans" w:hAnsi="Liberation Sans"/>
          <w:b/>
          <w:sz w:val="26"/>
        </w:rPr>
        <w:t>(ПОЛИТИКА В ОТНОШЕНИИ ОБРАБОТКИ ПЕРСОНАЛЬНЫХ ДАННЫХ)</w:t>
      </w:r>
    </w:p>
    <w:p>
      <w:pPr>
        <w:jc w:val="center"/>
      </w:pPr>
      <w:r>
        <w:rPr>
          <w:rFonts w:ascii="Liberation Sans" w:hAnsi="Liberation Sans"/>
          <w:sz w:val="22"/>
        </w:rPr>
        <w:t>официального сайта Добрынина Андрея Владимировича</w:t>
      </w:r>
    </w:p>
    <w:p>
      <w:pPr>
        <w:jc w:val="center"/>
      </w:pPr>
      <w:hyperlink r:id="rId10">
        <w:r>
          <w:rPr>
            <w:color w:val="1F4E79"/>
            <w:u w:val="single"/>
            <w:rFonts w:ascii="Liberation Sans" w:hAnsi="Liberation Sans" w:eastAsia="Liberation Sans"/>
            <w:sz w:val="20"/>
          </w:rPr>
          <w:t>https://dobrynin64.ru/</w:t>
        </w:r>
      </w:hyperlink>
    </w:p>
    <w:p>
      <w:pPr>
        <w:jc w:val="center"/>
      </w:pPr>
      <w:r>
        <w:rPr>
          <w:rFonts w:ascii="Liberation Sans" w:hAnsi="Liberation Sans"/>
          <w:color w:val="5A646E"/>
          <w:sz w:val="18"/>
        </w:rPr>
        <w:t>Редакция 2026-08-08 • вступает в силу с даты публикации на Сайте</w:t>
      </w:r>
    </w:p>
    <w:p/>
    <w:tbl>
      <w:tblPr>
        <w:tblW w:type="auto" w:w="0"/>
        <w:jc w:val="center"/>
        <w:tblLayout w:type="fixed"/>
        <w:tblLook w:firstColumn="1" w:firstRow="1" w:lastColumn="0" w:lastRow="0" w:noHBand="0" w:noVBand="1" w:val="04A0"/>
      </w:tblPr>
      <w:tblGrid>
        <w:gridCol w:w="9071"/>
      </w:tblGrid>
      <w:tr>
        <w:tc>
          <w:tcPr>
            <w:tcW w:type="dxa" w:w="10142"/>
            <w:shd w:fill="F2F6FA"/>
            <w:tcBorders>
              <w:top w:val="single" w:sz="6" w:color="C9D7E5"/>
              <w:left w:val="single" w:sz="6" w:color="C9D7E5"/>
              <w:bottom w:val="single" w:sz="6" w:color="C9D7E5"/>
              <w:right w:val="single" w:sz="6" w:color="C9D7E5"/>
            </w:tcBorders>
          </w:tcPr>
          <w:p>
            <w:pPr>
              <w:spacing w:after="0"/>
            </w:pPr>
            <w:r>
              <w:rPr>
                <w:b/>
              </w:rPr>
              <w:t xml:space="preserve">Ключевой принцип: </w:t>
            </w:r>
            <w:r>
              <w:t>персональные данные обрабатываются только для заранее определённых законных целей и в объёме, необходимом для работы с обращениями, обратной связи, безопасности и организации деятельности уполномоченной команды. CRM Муромца является техническим инструментом обработки и не заменяет обязанности Оператора по соблюдению законодательства.</w:t>
            </w:r>
          </w:p>
        </w:tc>
      </w:tr>
    </w:tbl>
    <w:p>
      <w:pPr>
        <w:pStyle w:val="Heading1"/>
      </w:pPr>
      <w:r>
        <w:t>1. Общие положения</w:t>
      </w:r>
    </w:p>
    <w:p>
      <w:r>
        <w:t>1.1. Настоящая Политика определяет принципы, цели, правовые основания, состав, способы и условия обработки персональных данных, а также меры, направленные на защиту прав субъектов персональных данных при использовании сайта https://dobrynin64.ru/, информационной системы CRM Муромца, электронной почты, мобильной PWA-оболочки и связанных служебных средств взаимодействия.</w:t>
      </w:r>
    </w:p>
    <w:p>
      <w:r>
        <w:t>1.2. Политика применяется ко всем операциям с персональными данными, осуществляемым Оператором с использованием средств автоматизации и без их использования, если такие операции относятся к целям, указанным в настоящем документе.</w:t>
      </w:r>
    </w:p>
    <w:p>
      <w:r>
        <w:t>1.3. Простое посещение Сайта само по себе не означает универсального согласия пользователя на обработку любых персональных данных. Если для конкретной цели правовым основанием является согласие субъекта, такое согласие запрашивается отдельно, конкретно и в форме, позволяющей подтвердить факт его получения.</w:t>
      </w:r>
    </w:p>
    <w:p>
      <w:r>
        <w:t>1.4. Если обработка для отдельной цели может осуществляться на ином законном основании, Оператор определяет такое основание применительно к соответствующей цели и не подменяет его формальным «согласием на всё».</w:t>
      </w:r>
    </w:p>
    <w:p>
      <w:r>
        <w:t>1.5. Политика разработана с учётом Федерального закона от 27.07.2006 № 152-ФЗ «О персональных данных», применимых положений иных федеральных законов и подзаконных актов. Федеральный закон № 59-ФЗ применяется только в той части, в которой его сфера действия действительно распространяется на конкретные отношения и статус лица, рассматривающего обращение.</w:t>
      </w:r>
    </w:p>
    <w:p>
      <w:pPr>
        <w:pStyle w:val="Heading1"/>
      </w:pPr>
      <w:r>
        <w:t>2. Сведения об Операторе</w:t>
      </w:r>
    </w:p>
    <w:p>
      <w:r>
        <w:t>2.1. Оператор персональных данных: Добрынин Андрей Владимирович.</w:t>
      </w:r>
    </w:p>
    <w:p>
      <w:r>
        <w:t xml:space="preserve">2.2. Официальный сайт: </w:t>
      </w:r>
      <w:hyperlink r:id="rId10">
        <w:r>
          <w:rPr>
            <w:color w:val="1F4E79"/>
            <w:u w:val="single"/>
            <w:rFonts w:ascii="Liberation Sans" w:hAnsi="Liberation Sans" w:eastAsia="Liberation Sans"/>
            <w:sz w:val="20"/>
          </w:rPr>
          <w:t>https://dobrynin64.ru/</w:t>
        </w:r>
      </w:hyperlink>
    </w:p>
    <w:p>
      <w:r>
        <w:t xml:space="preserve">2.3. Электронная почта для обращений по вопросам персональных данных: </w:t>
      </w:r>
      <w:hyperlink r:id="rId11">
        <w:r>
          <w:rPr>
            <w:color w:val="1F4E79"/>
            <w:u w:val="single"/>
            <w:rFonts w:ascii="Liberation Sans" w:hAnsi="Liberation Sans" w:eastAsia="Liberation Sans"/>
            <w:sz w:val="20"/>
          </w:rPr>
          <w:t>andrey@dobrynin64.ru</w:t>
        </w:r>
      </w:hyperlink>
    </w:p>
    <w:p>
      <w:r>
        <w:t>2.4. Оператор самостоятельно определяет цели обработки персональных данных и состав действий с ними и несёт обязанности оператора в пределах, установленных законодательством Российской Федерации.</w:t>
      </w:r>
    </w:p>
    <w:p>
      <w:pPr>
        <w:pStyle w:val="Heading1"/>
      </w:pPr>
      <w:r>
        <w:t>3. Основные термины</w:t>
      </w:r>
    </w:p>
    <w:p>
      <w:r>
        <w:rPr>
          <w:b/>
        </w:rPr>
        <w:t xml:space="preserve">Персональные данные: </w:t>
      </w:r>
      <w:r>
        <w:t>любая информация, относящаяся прямо или косвенно к определённому или определяемому физическому лицу.</w:t>
      </w:r>
    </w:p>
    <w:p>
      <w:r>
        <w:rPr>
          <w:b/>
        </w:rPr>
        <w:t xml:space="preserve">Обработка персональных данных: </w:t>
      </w:r>
      <w:r>
        <w:t>любое действие или совокупность действий с персональными данными, включая сбор, запись, систематизацию, накопление, хранение, уточнение, извлечение, использование, предоставление, доступ, блокирование, удаление и уничтожение.</w:t>
      </w:r>
    </w:p>
    <w:p>
      <w:r>
        <w:rPr>
          <w:b/>
        </w:rPr>
        <w:t xml:space="preserve">CRM Муромца: </w:t>
      </w:r>
      <w:r>
        <w:t>информационная система и программный комплекс, используемый Оператором как технический инструмент для регистрации и сопровождения обращений, ведения истории взаимодействия, контроля сроков, распределения задач, подготовки внутренних документов и служебной аналитики.</w:t>
      </w:r>
    </w:p>
    <w:p>
      <w:r>
        <w:rPr>
          <w:b/>
        </w:rPr>
        <w:t xml:space="preserve">Обезличивание: </w:t>
      </w:r>
      <w:r>
        <w:t>действия, в результате которых без использования дополнительной информации невозможно определить принадлежность персональных данных конкретному субъекту.</w:t>
      </w:r>
    </w:p>
    <w:p>
      <w:r>
        <w:rPr>
          <w:b/>
        </w:rPr>
        <w:t xml:space="preserve">PWA: </w:t>
      </w:r>
      <w:r>
        <w:t>мобильная веб-оболочка, позволяющая уполномоченным пользователям запускать CRM как приложение и получать служебные уведомления при наличии технической поддержки устройства и предоставленного разрешения.</w:t>
      </w:r>
    </w:p>
    <w:p>
      <w:r>
        <w:rPr>
          <w:b/>
        </w:rPr>
        <w:t xml:space="preserve">Push-уведомление: </w:t>
      </w:r>
      <w:r>
        <w:t>краткое служебное сообщение, направляемое на зарегистрированное рабочее устройство уполномоченного пользователя CRM.</w:t>
      </w:r>
    </w:p>
    <w:p>
      <w:pPr>
        <w:pStyle w:val="Heading1"/>
      </w:pPr>
      <w:r>
        <w:t>4. Принципы обработки персональных данных</w:t>
      </w:r>
    </w:p>
    <w:p>
      <w:pPr>
        <w:pStyle w:val="ListBullet"/>
      </w:pPr>
      <w:r>
        <w:t>законность и справедливость обработки;</w:t>
      </w:r>
    </w:p>
    <w:p>
      <w:pPr>
        <w:pStyle w:val="ListBullet"/>
      </w:pPr>
      <w:r>
        <w:t>ограничение обработки заранее определёнными, конкретными и законными целями;</w:t>
      </w:r>
    </w:p>
    <w:p>
      <w:pPr>
        <w:pStyle w:val="ListBullet"/>
      </w:pPr>
      <w:r>
        <w:t>недопущение обработки, несовместимой с первоначальными целями сбора;</w:t>
      </w:r>
    </w:p>
    <w:p>
      <w:pPr>
        <w:pStyle w:val="ListBullet"/>
      </w:pPr>
      <w:r>
        <w:t>соответствие содержания и объёма данных заявленным целям;</w:t>
      </w:r>
    </w:p>
    <w:p>
      <w:pPr>
        <w:pStyle w:val="ListBullet"/>
      </w:pPr>
      <w:r>
        <w:t>недопущение избыточности данных;</w:t>
      </w:r>
    </w:p>
    <w:p>
      <w:pPr>
        <w:pStyle w:val="ListBullet"/>
      </w:pPr>
      <w:r>
        <w:t>обеспечение точности и актуальности данных, когда это необходимо;</w:t>
      </w:r>
    </w:p>
    <w:p>
      <w:pPr>
        <w:pStyle w:val="ListBullet"/>
      </w:pPr>
      <w:r>
        <w:t>хранение не дольше, чем этого требуют цель обработки, применимые обязательные сроки или иное законное основание;</w:t>
      </w:r>
    </w:p>
    <w:p>
      <w:pPr>
        <w:pStyle w:val="ListBullet"/>
      </w:pPr>
      <w:r>
        <w:t>применение правовых, организационных и технических мер защиты.</w:t>
      </w:r>
    </w:p>
    <w:p>
      <w:r>
        <w:t>4.2. Оператор не ставит целью получение максимально возможного объёма информации о гражданине. В CRM и иных системах должны обрабатываться только сведения, объективно необходимые для конкретной цели.</w:t>
      </w:r>
    </w:p>
    <w:p>
      <w:pPr>
        <w:pStyle w:val="Heading1"/>
      </w:pPr>
      <w:r>
        <w:t>5. Категории субъектов персональных данных</w:t>
      </w:r>
    </w:p>
    <w:p>
      <w:pPr>
        <w:pStyle w:val="ListBullet"/>
      </w:pPr>
      <w:r>
        <w:t>граждане, направляющие обращения или участвующие в их рассмотрении;</w:t>
      </w:r>
    </w:p>
    <w:p>
      <w:pPr>
        <w:pStyle w:val="ListBullet"/>
      </w:pPr>
      <w:r>
        <w:t>представители граждан;</w:t>
      </w:r>
    </w:p>
    <w:p>
      <w:pPr>
        <w:pStyle w:val="ListBullet"/>
      </w:pPr>
      <w:r>
        <w:t>лица, сведения о которых законно содержатся в обращении или приложенных материалах;</w:t>
      </w:r>
    </w:p>
    <w:p>
      <w:pPr>
        <w:pStyle w:val="ListBullet"/>
      </w:pPr>
      <w:r>
        <w:t>посетители и авторизованные пользователи Сайта;</w:t>
      </w:r>
    </w:p>
    <w:p>
      <w:pPr>
        <w:pStyle w:val="ListBullet"/>
      </w:pPr>
      <w:r>
        <w:t>участники команды и иные уполномоченные пользователи CRM;</w:t>
      </w:r>
    </w:p>
    <w:p>
      <w:pPr>
        <w:pStyle w:val="ListBullet"/>
      </w:pPr>
      <w:r>
        <w:t>представители государственных, муниципальных, коммерческих и иных организаций, участвующих в рассмотрении конкретного вопроса;</w:t>
      </w:r>
    </w:p>
    <w:p>
      <w:pPr>
        <w:pStyle w:val="ListBullet"/>
      </w:pPr>
      <w:r>
        <w:t>иные лица, если их данные законно получены и необходимы для заявленной цели.</w:t>
      </w:r>
    </w:p>
    <w:p>
      <w:pPr>
        <w:pStyle w:val="Heading1"/>
      </w:pPr>
      <w:r>
        <w:t>6. Перечень обрабатываемых персональных данных</w:t>
      </w:r>
    </w:p>
    <w:p>
      <w:pPr>
        <w:pStyle w:val="Heading2"/>
      </w:pPr>
      <w:r>
        <w:t>6.1. Данные граждан и представителей</w:t>
      </w:r>
    </w:p>
    <w:p>
      <w:pPr>
        <w:pStyle w:val="ListBullet"/>
      </w:pPr>
      <w:r>
        <w:t>фамилия, имя, отчество;</w:t>
      </w:r>
    </w:p>
    <w:p>
      <w:pPr>
        <w:pStyle w:val="ListBullet"/>
      </w:pPr>
      <w:r>
        <w:t>контактный телефон;</w:t>
      </w:r>
    </w:p>
    <w:p>
      <w:pPr>
        <w:pStyle w:val="ListBullet"/>
      </w:pPr>
      <w:r>
        <w:t>адрес электронной почты;</w:t>
      </w:r>
    </w:p>
    <w:p>
      <w:pPr>
        <w:pStyle w:val="ListBullet"/>
      </w:pPr>
      <w:r>
        <w:t>адрес проживания и/или адрес объекта, к которому относится проблема;</w:t>
      </w:r>
    </w:p>
    <w:p>
      <w:pPr>
        <w:pStyle w:val="ListBullet"/>
      </w:pPr>
      <w:r>
        <w:t>текст и тема обращения;</w:t>
      </w:r>
    </w:p>
    <w:p>
      <w:pPr>
        <w:pStyle w:val="ListBullet"/>
      </w:pPr>
      <w:r>
        <w:t>категория, дата и номер обращения;</w:t>
      </w:r>
    </w:p>
    <w:p>
      <w:pPr>
        <w:pStyle w:val="ListBullet"/>
      </w:pPr>
      <w:r>
        <w:t>сведения о ходе рассмотрения, статусах и результате;</w:t>
      </w:r>
    </w:p>
    <w:p>
      <w:pPr>
        <w:pStyle w:val="ListBullet"/>
      </w:pPr>
      <w:r>
        <w:t>история коммуникаций, в том числе сведения о звонках и переписке;</w:t>
      </w:r>
    </w:p>
    <w:p>
      <w:pPr>
        <w:pStyle w:val="ListBullet"/>
      </w:pPr>
      <w:r>
        <w:t>ответы компетентных организаций;</w:t>
      </w:r>
    </w:p>
    <w:p>
      <w:pPr>
        <w:pStyle w:val="ListBullet"/>
      </w:pPr>
      <w:r>
        <w:t>сведения о поручениях, непосредственно связанных с обращением;</w:t>
      </w:r>
    </w:p>
    <w:p>
      <w:pPr>
        <w:pStyle w:val="ListBullet"/>
      </w:pPr>
      <w:r>
        <w:t>документы, фотографии и иные файлы, добровольно переданные гражданином;</w:t>
      </w:r>
    </w:p>
    <w:p>
      <w:pPr>
        <w:pStyle w:val="ListBullet"/>
      </w:pPr>
      <w:r>
        <w:t>сведения о факте, виде, версии текста, дате, времени и способе получения согласия, а также об отзыве согласия.</w:t>
      </w:r>
    </w:p>
    <w:p>
      <w:pPr>
        <w:pStyle w:val="Heading2"/>
      </w:pPr>
      <w:r>
        <w:t>6.2. Данные участников команды и пользователей CRM</w:t>
      </w:r>
    </w:p>
    <w:p>
      <w:pPr>
        <w:pStyle w:val="ListBullet"/>
      </w:pPr>
      <w:r>
        <w:t>ФИО, рабочая роль и должность;</w:t>
      </w:r>
    </w:p>
    <w:p>
      <w:pPr>
        <w:pStyle w:val="ListBullet"/>
      </w:pPr>
      <w:r>
        <w:t>Email и телефон;</w:t>
      </w:r>
    </w:p>
    <w:p>
      <w:pPr>
        <w:pStyle w:val="ListBullet"/>
      </w:pPr>
      <w:r>
        <w:t>идентификатор и параметры учётной записи WordPress/CRM;</w:t>
      </w:r>
    </w:p>
    <w:p>
      <w:pPr>
        <w:pStyle w:val="ListBullet"/>
      </w:pPr>
      <w:r>
        <w:t>права доступа и рабочие настройки;</w:t>
      </w:r>
    </w:p>
    <w:p>
      <w:pPr>
        <w:pStyle w:val="ListBullet"/>
      </w:pPr>
      <w:r>
        <w:t>настройки уведомлений;</w:t>
      </w:r>
    </w:p>
    <w:p>
      <w:pPr>
        <w:pStyle w:val="ListBullet"/>
      </w:pPr>
      <w:r>
        <w:t>безопасные идентификаторы зарегистрированных рабочих устройств;</w:t>
      </w:r>
    </w:p>
    <w:p>
      <w:pPr>
        <w:pStyle w:val="ListBullet"/>
      </w:pPr>
      <w:r>
        <w:t>тип устройства, браузер/платформа, статус Push, время последней активности;</w:t>
      </w:r>
    </w:p>
    <w:p>
      <w:pPr>
        <w:pStyle w:val="ListBullet"/>
      </w:pPr>
      <w:r>
        <w:t>история авторизации и журнал действий в пределах, необходимых для безопасности и аудита.</w:t>
      </w:r>
    </w:p>
    <w:p>
      <w:pPr>
        <w:pStyle w:val="Heading2"/>
      </w:pPr>
      <w:r>
        <w:t>6.3. Технические данные</w:t>
      </w:r>
    </w:p>
    <w:p>
      <w:pPr>
        <w:pStyle w:val="ListBullet"/>
      </w:pPr>
      <w:r>
        <w:t>IP-адрес и технические сведения о сетевом запросе;</w:t>
      </w:r>
    </w:p>
    <w:p>
      <w:pPr>
        <w:pStyle w:val="ListBullet"/>
      </w:pPr>
      <w:r>
        <w:t>тип браузера, операционная система и класс устройства;</w:t>
      </w:r>
    </w:p>
    <w:p>
      <w:pPr>
        <w:pStyle w:val="ListBullet"/>
      </w:pPr>
      <w:r>
        <w:t>дата и время обращения к Сайту или CRM;</w:t>
      </w:r>
    </w:p>
    <w:p>
      <w:pPr>
        <w:pStyle w:val="ListBullet"/>
      </w:pPr>
      <w:r>
        <w:t>идентификаторы сессии и функциональные cookie;</w:t>
      </w:r>
    </w:p>
    <w:p>
      <w:pPr>
        <w:pStyle w:val="ListBullet"/>
      </w:pPr>
      <w:r>
        <w:t>сведения о технических ошибках, безопасности, состоянии PWA и Push-подписки;</w:t>
      </w:r>
    </w:p>
    <w:p>
      <w:pPr>
        <w:pStyle w:val="ListBullet"/>
      </w:pPr>
      <w:r>
        <w:t>иные минимально необходимые журнальные сведения, возникающие при штатной работе информационной системы.</w:t>
      </w:r>
    </w:p>
    <w:p>
      <w:pPr>
        <w:pStyle w:val="Heading1"/>
      </w:pPr>
      <w:r>
        <w:t>7. Источники получения данных</w:t>
      </w:r>
    </w:p>
    <w:p>
      <w:pPr>
        <w:pStyle w:val="ListBullet"/>
      </w:pPr>
      <w:r>
        <w:t>непосредственно от субъекта персональных данных;</w:t>
      </w:r>
    </w:p>
    <w:p>
      <w:pPr>
        <w:pStyle w:val="ListBullet"/>
      </w:pPr>
      <w:r>
        <w:t>от его представителя при наличии полномочий;</w:t>
      </w:r>
    </w:p>
    <w:p>
      <w:pPr>
        <w:pStyle w:val="ListBullet"/>
      </w:pPr>
      <w:r>
        <w:t>через формы Сайта и интернет-приёмной;</w:t>
      </w:r>
    </w:p>
    <w:p>
      <w:pPr>
        <w:pStyle w:val="ListBullet"/>
      </w:pPr>
      <w:r>
        <w:t>при личном приёме или выездной работе;</w:t>
      </w:r>
    </w:p>
    <w:p>
      <w:pPr>
        <w:pStyle w:val="ListBullet"/>
      </w:pPr>
      <w:r>
        <w:t>при телефонном обращении;</w:t>
      </w:r>
    </w:p>
    <w:p>
      <w:pPr>
        <w:pStyle w:val="ListBullet"/>
      </w:pPr>
      <w:r>
        <w:t>по электронной почте;</w:t>
      </w:r>
    </w:p>
    <w:p>
      <w:pPr>
        <w:pStyle w:val="ListBullet"/>
      </w:pPr>
      <w:r>
        <w:t>от уполномоченного пользователя CRM, регистрирующего сведения со слов гражданина;</w:t>
      </w:r>
    </w:p>
    <w:p>
      <w:pPr>
        <w:pStyle w:val="ListBullet"/>
      </w:pPr>
      <w:r>
        <w:t>из документов и материалов, переданных гражданином;</w:t>
      </w:r>
    </w:p>
    <w:p>
      <w:pPr>
        <w:pStyle w:val="ListBullet"/>
      </w:pPr>
      <w:r>
        <w:t>из ответов органов и организаций, привлечённых к рассмотрению конкретного вопроса;</w:t>
      </w:r>
    </w:p>
    <w:p>
      <w:pPr>
        <w:pStyle w:val="ListBullet"/>
      </w:pPr>
      <w:r>
        <w:t>из технических журналов, автоматически формируемых информационной системой.</w:t>
      </w:r>
    </w:p>
    <w:p>
      <w:pPr>
        <w:pStyle w:val="Heading1"/>
      </w:pPr>
      <w:r>
        <w:t>8. Цели, состав данных и правовые основания обработки</w:t>
      </w:r>
    </w:p>
    <w:p>
      <w:r>
        <w:t>8.1. Для каждой цели Оператор определяет самостоятельное правовое основание. Федеральный закон № 152-ФЗ устанавливает правила обработки, но сам по себе не заменяет конкретного правового основания для отдельной цели.</w:t>
      </w:r>
    </w:p>
    <w:tbl>
      <w:tblPr>
        <w:tblStyle w:val="TableGrid"/>
        <w:tblW w:type="auto" w:w="0"/>
        <w:jc w:val="center"/>
        <w:tblLayout w:type="fixed"/>
        <w:tblLook w:firstColumn="1" w:firstRow="1" w:lastColumn="0" w:lastRow="0" w:noHBand="0" w:noVBand="1" w:val="04A0"/>
      </w:tblPr>
      <w:tblGrid>
        <w:gridCol w:w="1701"/>
        <w:gridCol w:w="1417"/>
        <w:gridCol w:w="2211"/>
        <w:gridCol w:w="2381"/>
        <w:gridCol w:w="1984"/>
      </w:tblGrid>
      <w:tr>
        <w:tc>
          <w:tcPr>
            <w:tcW w:type="dxa" w:w="2028"/>
            <w:shd w:fill="DCE6F1"/>
            <w:vAlign w:val="top"/>
          </w:tcPr>
          <w:p>
            <w:r>
              <w:rPr>
                <w:rFonts w:ascii="Liberation Sans" w:hAnsi="Liberation Sans"/>
                <w:b/>
                <w:sz w:val="16"/>
              </w:rPr>
              <w:t>Цель</w:t>
            </w:r>
          </w:p>
        </w:tc>
        <w:tc>
          <w:tcPr>
            <w:tcW w:type="dxa" w:w="2028"/>
            <w:shd w:fill="DCE6F1"/>
            <w:vAlign w:val="top"/>
          </w:tcPr>
          <w:p>
            <w:r>
              <w:rPr>
                <w:rFonts w:ascii="Liberation Sans" w:hAnsi="Liberation Sans"/>
                <w:b/>
                <w:sz w:val="16"/>
              </w:rPr>
              <w:t>Субъекты</w:t>
            </w:r>
          </w:p>
        </w:tc>
        <w:tc>
          <w:tcPr>
            <w:tcW w:type="dxa" w:w="2028"/>
            <w:shd w:fill="DCE6F1"/>
            <w:vAlign w:val="top"/>
          </w:tcPr>
          <w:p>
            <w:r>
              <w:rPr>
                <w:rFonts w:ascii="Liberation Sans" w:hAnsi="Liberation Sans"/>
                <w:b/>
                <w:sz w:val="16"/>
              </w:rPr>
              <w:t>Данные</w:t>
            </w:r>
          </w:p>
        </w:tc>
        <w:tc>
          <w:tcPr>
            <w:tcW w:type="dxa" w:w="2028"/>
            <w:shd w:fill="DCE6F1"/>
            <w:vAlign w:val="top"/>
          </w:tcPr>
          <w:p>
            <w:r>
              <w:rPr>
                <w:rFonts w:ascii="Liberation Sans" w:hAnsi="Liberation Sans"/>
                <w:b/>
                <w:sz w:val="16"/>
              </w:rPr>
              <w:t>Основание</w:t>
            </w:r>
          </w:p>
        </w:tc>
        <w:tc>
          <w:tcPr>
            <w:tcW w:type="dxa" w:w="2028"/>
            <w:shd w:fill="DCE6F1"/>
            <w:vAlign w:val="top"/>
          </w:tcPr>
          <w:p>
            <w:r>
              <w:rPr>
                <w:rFonts w:ascii="Liberation Sans" w:hAnsi="Liberation Sans"/>
                <w:b/>
                <w:sz w:val="16"/>
              </w:rPr>
              <w:t>Срок/условие прекращения</w:t>
            </w:r>
          </w:p>
        </w:tc>
      </w:tr>
      <w:tr>
        <w:tc>
          <w:tcPr>
            <w:tcW w:type="dxa" w:w="1701"/>
            <w:vAlign w:val="top"/>
          </w:tcPr>
          <w:p>
            <w:r>
              <w:rPr>
                <w:rFonts w:ascii="Liberation Sans" w:hAnsi="Liberation Sans"/>
                <w:sz w:val="16"/>
              </w:rPr>
              <w:t>Регистрация и сопровождение обращения</w:t>
            </w:r>
          </w:p>
        </w:tc>
        <w:tc>
          <w:tcPr>
            <w:tcW w:type="dxa" w:w="1417"/>
            <w:vAlign w:val="top"/>
          </w:tcPr>
          <w:p>
            <w:r>
              <w:rPr>
                <w:rFonts w:ascii="Liberation Sans" w:hAnsi="Liberation Sans"/>
                <w:sz w:val="16"/>
              </w:rPr>
              <w:t>граждане, представители</w:t>
            </w:r>
          </w:p>
        </w:tc>
        <w:tc>
          <w:tcPr>
            <w:tcW w:type="dxa" w:w="2211"/>
            <w:vAlign w:val="top"/>
          </w:tcPr>
          <w:p>
            <w:r>
              <w:rPr>
                <w:rFonts w:ascii="Liberation Sans" w:hAnsi="Liberation Sans"/>
                <w:sz w:val="16"/>
              </w:rPr>
              <w:t>ФИО, контакты, адрес, текст, приложения, история</w:t>
            </w:r>
          </w:p>
        </w:tc>
        <w:tc>
          <w:tcPr>
            <w:tcW w:type="dxa" w:w="2381"/>
            <w:vAlign w:val="top"/>
          </w:tcPr>
          <w:p>
            <w:r>
              <w:rPr>
                <w:rFonts w:ascii="Liberation Sans" w:hAnsi="Liberation Sans"/>
                <w:sz w:val="16"/>
              </w:rPr>
              <w:t>согласие субъекта; либо иное применимое основание, прямо предусмотренное ст. 6 № 152-ФЗ и иным законодательством</w:t>
            </w:r>
          </w:p>
        </w:tc>
        <w:tc>
          <w:tcPr>
            <w:tcW w:type="dxa" w:w="1984"/>
            <w:vAlign w:val="top"/>
          </w:tcPr>
          <w:p>
            <w:r>
              <w:rPr>
                <w:rFonts w:ascii="Liberation Sans" w:hAnsi="Liberation Sans"/>
                <w:sz w:val="16"/>
              </w:rPr>
              <w:t>до достижения цели; далее — в сроки, предусмотренные законом или локальным актом, при отсутствии иного основания — прекращение/уничтожение в порядке ст. 21 № 152-ФЗ</w:t>
            </w:r>
          </w:p>
        </w:tc>
      </w:tr>
      <w:tr>
        <w:tc>
          <w:tcPr>
            <w:tcW w:type="dxa" w:w="1701"/>
            <w:vAlign w:val="top"/>
          </w:tcPr>
          <w:p>
            <w:r>
              <w:rPr>
                <w:rFonts w:ascii="Liberation Sans" w:hAnsi="Liberation Sans"/>
                <w:sz w:val="16"/>
              </w:rPr>
              <w:t>Обратная связь по конкретному обращению</w:t>
            </w:r>
          </w:p>
        </w:tc>
        <w:tc>
          <w:tcPr>
            <w:tcW w:type="dxa" w:w="1417"/>
            <w:vAlign w:val="top"/>
          </w:tcPr>
          <w:p>
            <w:r>
              <w:rPr>
                <w:rFonts w:ascii="Liberation Sans" w:hAnsi="Liberation Sans"/>
                <w:sz w:val="16"/>
              </w:rPr>
              <w:t>граждане</w:t>
            </w:r>
          </w:p>
        </w:tc>
        <w:tc>
          <w:tcPr>
            <w:tcW w:type="dxa" w:w="2211"/>
            <w:vAlign w:val="top"/>
          </w:tcPr>
          <w:p>
            <w:r>
              <w:rPr>
                <w:rFonts w:ascii="Liberation Sans" w:hAnsi="Liberation Sans"/>
                <w:sz w:val="16"/>
              </w:rPr>
              <w:t>Email, телефон, номер и статус обращения</w:t>
            </w:r>
          </w:p>
        </w:tc>
        <w:tc>
          <w:tcPr>
            <w:tcW w:type="dxa" w:w="2381"/>
            <w:vAlign w:val="top"/>
          </w:tcPr>
          <w:p>
            <w:r>
              <w:rPr>
                <w:rFonts w:ascii="Liberation Sans" w:hAnsi="Liberation Sans"/>
                <w:sz w:val="16"/>
              </w:rPr>
              <w:t>отдельное согласие на добровольный канал связи и/или иное законное основание для конкретной коммуникации</w:t>
            </w:r>
          </w:p>
        </w:tc>
        <w:tc>
          <w:tcPr>
            <w:tcW w:type="dxa" w:w="1984"/>
            <w:vAlign w:val="top"/>
          </w:tcPr>
          <w:p>
            <w:r>
              <w:rPr>
                <w:rFonts w:ascii="Liberation Sans" w:hAnsi="Liberation Sans"/>
                <w:sz w:val="16"/>
              </w:rPr>
              <w:t>до отзыва разрешения на соответствующий канал либо до прекращения цели обращения</w:t>
            </w:r>
          </w:p>
        </w:tc>
      </w:tr>
      <w:tr>
        <w:tc>
          <w:tcPr>
            <w:tcW w:type="dxa" w:w="1701"/>
            <w:vAlign w:val="top"/>
          </w:tcPr>
          <w:p>
            <w:r>
              <w:rPr>
                <w:rFonts w:ascii="Liberation Sans" w:hAnsi="Liberation Sans"/>
                <w:sz w:val="16"/>
              </w:rPr>
              <w:t>Направление вопроса компетентной организации</w:t>
            </w:r>
          </w:p>
        </w:tc>
        <w:tc>
          <w:tcPr>
            <w:tcW w:type="dxa" w:w="1417"/>
            <w:vAlign w:val="top"/>
          </w:tcPr>
          <w:p>
            <w:r>
              <w:rPr>
                <w:rFonts w:ascii="Liberation Sans" w:hAnsi="Liberation Sans"/>
                <w:sz w:val="16"/>
              </w:rPr>
              <w:t>граждане и иные лица, сведения о которых необходимы</w:t>
            </w:r>
          </w:p>
        </w:tc>
        <w:tc>
          <w:tcPr>
            <w:tcW w:type="dxa" w:w="2211"/>
            <w:vAlign w:val="top"/>
          </w:tcPr>
          <w:p>
            <w:r>
              <w:rPr>
                <w:rFonts w:ascii="Liberation Sans" w:hAnsi="Liberation Sans"/>
                <w:sz w:val="16"/>
              </w:rPr>
              <w:t>минимальный объём сведений, необходимый адресату</w:t>
            </w:r>
          </w:p>
        </w:tc>
        <w:tc>
          <w:tcPr>
            <w:tcW w:type="dxa" w:w="2381"/>
            <w:vAlign w:val="top"/>
          </w:tcPr>
          <w:p>
            <w:r>
              <w:rPr>
                <w:rFonts w:ascii="Liberation Sans" w:hAnsi="Liberation Sans"/>
                <w:sz w:val="16"/>
              </w:rPr>
              <w:t>согласие, закон, либо осуществление прав и законных интересов/общественно значимой цели при соблюдении условий ст. 6 № 152-ФЗ — в зависимости от ситуации</w:t>
            </w:r>
          </w:p>
        </w:tc>
        <w:tc>
          <w:tcPr>
            <w:tcW w:type="dxa" w:w="1984"/>
            <w:vAlign w:val="top"/>
          </w:tcPr>
          <w:p>
            <w:r>
              <w:rPr>
                <w:rFonts w:ascii="Liberation Sans" w:hAnsi="Liberation Sans"/>
                <w:sz w:val="16"/>
              </w:rPr>
              <w:t>на период, необходимый для рассмотрения и подтверждения результата</w:t>
            </w:r>
          </w:p>
        </w:tc>
      </w:tr>
      <w:tr>
        <w:tc>
          <w:tcPr>
            <w:tcW w:type="dxa" w:w="1701"/>
            <w:vAlign w:val="top"/>
          </w:tcPr>
          <w:p>
            <w:r>
              <w:rPr>
                <w:rFonts w:ascii="Liberation Sans" w:hAnsi="Liberation Sans"/>
                <w:sz w:val="16"/>
              </w:rPr>
              <w:t>Организация работы CRM и команды</w:t>
            </w:r>
          </w:p>
        </w:tc>
        <w:tc>
          <w:tcPr>
            <w:tcW w:type="dxa" w:w="1417"/>
            <w:vAlign w:val="top"/>
          </w:tcPr>
          <w:p>
            <w:r>
              <w:rPr>
                <w:rFonts w:ascii="Liberation Sans" w:hAnsi="Liberation Sans"/>
                <w:sz w:val="16"/>
              </w:rPr>
              <w:t>участники команды, пользователи CRM</w:t>
            </w:r>
          </w:p>
        </w:tc>
        <w:tc>
          <w:tcPr>
            <w:tcW w:type="dxa" w:w="2211"/>
            <w:vAlign w:val="top"/>
          </w:tcPr>
          <w:p>
            <w:r>
              <w:rPr>
                <w:rFonts w:ascii="Liberation Sans" w:hAnsi="Liberation Sans"/>
                <w:sz w:val="16"/>
              </w:rPr>
              <w:t>учётная запись, роль, контакты, устройства, журнал действий</w:t>
            </w:r>
          </w:p>
        </w:tc>
        <w:tc>
          <w:tcPr>
            <w:tcW w:type="dxa" w:w="2381"/>
            <w:vAlign w:val="top"/>
          </w:tcPr>
          <w:p>
            <w:r>
              <w:rPr>
                <w:rFonts w:ascii="Liberation Sans" w:hAnsi="Liberation Sans"/>
                <w:sz w:val="16"/>
              </w:rPr>
              <w:t>согласие/соглашение с пользователем, необходимость организации доступа, безопасности и осуществления прав и законных интересов в допустимых законом случаях</w:t>
            </w:r>
          </w:p>
        </w:tc>
        <w:tc>
          <w:tcPr>
            <w:tcW w:type="dxa" w:w="1984"/>
            <w:vAlign w:val="top"/>
          </w:tcPr>
          <w:p>
            <w:r>
              <w:rPr>
                <w:rFonts w:ascii="Liberation Sans" w:hAnsi="Liberation Sans"/>
                <w:sz w:val="16"/>
              </w:rPr>
              <w:t>на период действия доступа; после деактивации — до 30 дней для технического завершения, кроме журналов и сведений, для которых установлен иной срок</w:t>
            </w:r>
          </w:p>
        </w:tc>
      </w:tr>
      <w:tr>
        <w:tc>
          <w:tcPr>
            <w:tcW w:type="dxa" w:w="1701"/>
            <w:vAlign w:val="top"/>
          </w:tcPr>
          <w:p>
            <w:r>
              <w:rPr>
                <w:rFonts w:ascii="Liberation Sans" w:hAnsi="Liberation Sans"/>
                <w:sz w:val="16"/>
              </w:rPr>
              <w:t>Информационная безопасность и техническая диагностика</w:t>
            </w:r>
          </w:p>
        </w:tc>
        <w:tc>
          <w:tcPr>
            <w:tcW w:type="dxa" w:w="1417"/>
            <w:vAlign w:val="top"/>
          </w:tcPr>
          <w:p>
            <w:r>
              <w:rPr>
                <w:rFonts w:ascii="Liberation Sans" w:hAnsi="Liberation Sans"/>
                <w:sz w:val="16"/>
              </w:rPr>
              <w:t>посетители и пользователи</w:t>
            </w:r>
          </w:p>
        </w:tc>
        <w:tc>
          <w:tcPr>
            <w:tcW w:type="dxa" w:w="2211"/>
            <w:vAlign w:val="top"/>
          </w:tcPr>
          <w:p>
            <w:r>
              <w:rPr>
                <w:rFonts w:ascii="Liberation Sans" w:hAnsi="Liberation Sans"/>
                <w:sz w:val="16"/>
              </w:rPr>
              <w:t>IP, сессия, браузер, время, журналы ошибок и доступа</w:t>
            </w:r>
          </w:p>
        </w:tc>
        <w:tc>
          <w:tcPr>
            <w:tcW w:type="dxa" w:w="2381"/>
            <w:vAlign w:val="top"/>
          </w:tcPr>
          <w:p>
            <w:r>
              <w:rPr>
                <w:rFonts w:ascii="Liberation Sans" w:hAnsi="Liberation Sans"/>
                <w:sz w:val="16"/>
              </w:rPr>
              <w:t>выполнение обязанностей по безопасности и защите информации; осуществление прав и законных интересов при ненарушении прав субъекта</w:t>
            </w:r>
          </w:p>
        </w:tc>
        <w:tc>
          <w:tcPr>
            <w:tcW w:type="dxa" w:w="1984"/>
            <w:vAlign w:val="top"/>
          </w:tcPr>
          <w:p>
            <w:r>
              <w:rPr>
                <w:rFonts w:ascii="Liberation Sans" w:hAnsi="Liberation Sans"/>
                <w:sz w:val="16"/>
              </w:rPr>
              <w:t>как правило, до 12 месяцев; сведения об инциденте — дольше, если это требуется для расследования или исполнения закона</w:t>
            </w:r>
          </w:p>
        </w:tc>
      </w:tr>
      <w:tr>
        <w:tc>
          <w:tcPr>
            <w:tcW w:type="dxa" w:w="1701"/>
            <w:vAlign w:val="top"/>
          </w:tcPr>
          <w:p>
            <w:r>
              <w:rPr>
                <w:rFonts w:ascii="Liberation Sans" w:hAnsi="Liberation Sans"/>
                <w:sz w:val="16"/>
              </w:rPr>
              <w:t>Аналитика проблем территории</w:t>
            </w:r>
          </w:p>
        </w:tc>
        <w:tc>
          <w:tcPr>
            <w:tcW w:type="dxa" w:w="1417"/>
            <w:vAlign w:val="top"/>
          </w:tcPr>
          <w:p>
            <w:r>
              <w:rPr>
                <w:rFonts w:ascii="Liberation Sans" w:hAnsi="Liberation Sans"/>
                <w:sz w:val="16"/>
              </w:rPr>
              <w:t>граждане в исходных данных; публично — обезличенная статистика</w:t>
            </w:r>
          </w:p>
        </w:tc>
        <w:tc>
          <w:tcPr>
            <w:tcW w:type="dxa" w:w="2211"/>
            <w:vAlign w:val="top"/>
          </w:tcPr>
          <w:p>
            <w:r>
              <w:rPr>
                <w:rFonts w:ascii="Liberation Sans" w:hAnsi="Liberation Sans"/>
                <w:sz w:val="16"/>
              </w:rPr>
              <w:t>категории, улицы, дома, участки, сроки, статусы; по возможности без прямых идентификаторов</w:t>
            </w:r>
          </w:p>
        </w:tc>
        <w:tc>
          <w:tcPr>
            <w:tcW w:type="dxa" w:w="2381"/>
            <w:vAlign w:val="top"/>
          </w:tcPr>
          <w:p>
            <w:r>
              <w:rPr>
                <w:rFonts w:ascii="Liberation Sans" w:hAnsi="Liberation Sans"/>
                <w:sz w:val="16"/>
              </w:rPr>
              <w:t>основание исходной обработки; для статистических/исследовательских целей — с обязательным обезличиванием в случаях, предусмотренных законом</w:t>
            </w:r>
          </w:p>
        </w:tc>
        <w:tc>
          <w:tcPr>
            <w:tcW w:type="dxa" w:w="1984"/>
            <w:vAlign w:val="top"/>
          </w:tcPr>
          <w:p>
            <w:r>
              <w:rPr>
                <w:rFonts w:ascii="Liberation Sans" w:hAnsi="Liberation Sans"/>
                <w:sz w:val="16"/>
              </w:rPr>
              <w:t>агрегированные/обезличенные результаты — по необходимости; исходные данные — по сроку основной цели</w:t>
            </w:r>
          </w:p>
        </w:tc>
      </w:tr>
      <w:tr>
        <w:tc>
          <w:tcPr>
            <w:tcW w:type="dxa" w:w="1701"/>
            <w:vAlign w:val="top"/>
          </w:tcPr>
          <w:p>
            <w:r>
              <w:rPr>
                <w:rFonts w:ascii="Liberation Sans" w:hAnsi="Liberation Sans"/>
                <w:sz w:val="16"/>
              </w:rPr>
              <w:t>PDF-реестры и внутренние отчёты</w:t>
            </w:r>
          </w:p>
        </w:tc>
        <w:tc>
          <w:tcPr>
            <w:tcW w:type="dxa" w:w="1417"/>
            <w:vAlign w:val="top"/>
          </w:tcPr>
          <w:p>
            <w:r>
              <w:rPr>
                <w:rFonts w:ascii="Liberation Sans" w:hAnsi="Liberation Sans"/>
                <w:sz w:val="16"/>
              </w:rPr>
              <w:t>субъекты соответствующих обращений</w:t>
            </w:r>
          </w:p>
        </w:tc>
        <w:tc>
          <w:tcPr>
            <w:tcW w:type="dxa" w:w="2211"/>
            <w:vAlign w:val="top"/>
          </w:tcPr>
          <w:p>
            <w:r>
              <w:rPr>
                <w:rFonts w:ascii="Liberation Sans" w:hAnsi="Liberation Sans"/>
                <w:sz w:val="16"/>
              </w:rPr>
              <w:t>только разрешённый пользователю состав данных</w:t>
            </w:r>
          </w:p>
        </w:tc>
        <w:tc>
          <w:tcPr>
            <w:tcW w:type="dxa" w:w="2381"/>
            <w:vAlign w:val="top"/>
          </w:tcPr>
          <w:p>
            <w:r>
              <w:rPr>
                <w:rFonts w:ascii="Liberation Sans" w:hAnsi="Liberation Sans"/>
                <w:sz w:val="16"/>
              </w:rPr>
              <w:t>то же основание, на котором обрабатываются исходные данные; доступ ограничивается правами пользователя</w:t>
            </w:r>
          </w:p>
        </w:tc>
        <w:tc>
          <w:tcPr>
            <w:tcW w:type="dxa" w:w="1984"/>
            <w:vAlign w:val="top"/>
          </w:tcPr>
          <w:p>
            <w:r>
              <w:rPr>
                <w:rFonts w:ascii="Liberation Sans" w:hAnsi="Liberation Sans"/>
                <w:sz w:val="16"/>
              </w:rPr>
              <w:t>временный файл — как правило, до 24 часов; аудит факта формирования — по сроку журнала безопасности</w:t>
            </w:r>
          </w:p>
        </w:tc>
      </w:tr>
    </w:tbl>
    <w:p>
      <w:pPr>
        <w:pStyle w:val="Heading1"/>
      </w:pPr>
      <w:r>
        <w:t>9. Использование CRM Муромца при работе с обращениями</w:t>
      </w:r>
    </w:p>
    <w:p>
      <w:r>
        <w:t>9.1. Для повышения качества и оперативности работы с обращениями Оператор использует информационную систему CRM Муромца. CRM является техническим инструментом Оператора и не является самостоятельным оператором персональных данных.</w:t>
      </w:r>
    </w:p>
    <w:p>
      <w:r>
        <w:t>9.2. При регистрации и дальнейшем сопровождении обращения предоставленные гражданином сведения могут записываться, систематизироваться, уточняться, храниться, искатьcя, сортироваться и использоваться в CRM в объёме, необходимом для достижения заявленных целей обработки.</w:t>
      </w:r>
    </w:p>
    <w:p>
      <w:r>
        <w:t>9.3. CRM применяется для ускорения регистрации обращений, сокращения времени поиска информации, предотвращения потери обращений, ведения последовательной истории работы, контроля сроков, организации обратной связи, распределения задач между уполномоченными участниками команды, контроля направления запросов компетентным организациям, предотвращения необоснованного дублирования, выявления повторяющихся проблем домов, улиц и территорий, подготовки внутренних документов и повышения качества организации работы.</w:t>
      </w:r>
    </w:p>
    <w:p>
      <w:r>
        <w:t>9.4. Использование CRM позволяет систематизировать информацию о проблемах, о которых сообщают граждане, быстрее выявлять повторяющиеся вопросы, контролировать исполнение поручений и планировать работу по их разрешению. Для аналитических и организационных целей Оператор стремится использовать обезличенные и/или агрегированные сведения, когда идентификация конкретного гражданина для такой цели не требуется.</w:t>
      </w:r>
    </w:p>
    <w:p>
      <w:r>
        <w:t>9.5. Сведения, предоставленные для рассмотрения конкретного обращения, не должны использоваться для несовместимых с этой целью действий без самостоятельного законного основания.</w:t>
      </w:r>
    </w:p>
    <w:p>
      <w:pPr>
        <w:pStyle w:val="Heading1"/>
      </w:pPr>
      <w:r>
        <w:t>10. Автоматизированная обработка и отсутствие автоматических юридически значимых решений</w:t>
      </w:r>
    </w:p>
    <w:p>
      <w:r>
        <w:t>10.1. CRM может автоматически выполнять поиск, сортировку, фильтрацию, определение территории по адресу, формирование напоминаний, служебных уведомлений, реестров, PDF-документов, статистики и иных технических операций.</w:t>
      </w:r>
    </w:p>
    <w:p>
      <w:r>
        <w:t>10.2. CRM не используется для принятия на основании исключительно автоматизированной обработки решений, которые сами по себе порождают для гражданина юридические последствия или иным образом существенно затрагивают его права и законные интересы, без участия уполномоченного лица и соответствующего правового основания.</w:t>
      </w:r>
    </w:p>
    <w:p>
      <w:pPr>
        <w:pStyle w:val="Heading1"/>
      </w:pPr>
      <w:r>
        <w:t>11. Электронная почта и обратная связь</w:t>
      </w:r>
    </w:p>
    <w:p>
      <w:pPr>
        <w:pStyle w:val="ListBullet"/>
      </w:pPr>
      <w:r>
        <w:t>подтверждение регистрации обращения и направление его номера;</w:t>
      </w:r>
    </w:p>
    <w:p>
      <w:pPr>
        <w:pStyle w:val="ListBullet"/>
      </w:pPr>
      <w:r>
        <w:t>информирование о ходе рассмотрения;</w:t>
      </w:r>
    </w:p>
    <w:p>
      <w:pPr>
        <w:pStyle w:val="ListBullet"/>
      </w:pPr>
      <w:r>
        <w:t>запрос дополнительных сведений;</w:t>
      </w:r>
    </w:p>
    <w:p>
      <w:pPr>
        <w:pStyle w:val="ListBullet"/>
      </w:pPr>
      <w:r>
        <w:t>направление результата;</w:t>
      </w:r>
    </w:p>
    <w:p>
      <w:pPr>
        <w:pStyle w:val="ListBullet"/>
      </w:pPr>
      <w:r>
        <w:t>приглашение на согласованную встречу или личный приём, связанный с обращением.</w:t>
      </w:r>
    </w:p>
    <w:p>
      <w:r>
        <w:t>11.2. Если Email является добровольным каналом связи, CRM учитывает отдельно зафиксированное согласие гражданина на получение писем по его обращению. Отказ от Email не должен автоматически означать отказ от рассмотрения самого обращения, если иное прямо не вытекает из применимого законодательства.</w:t>
      </w:r>
    </w:p>
    <w:p>
      <w:r>
        <w:t>11.3. Контактные данные, предоставленные для сопровождения обращения, не используются автоматически для коммерческой рекламы, массового продвижения товаров или услуг либо политической агитации. Любая обработка в целях политической агитации требует отдельного предварительного согласия субъекта в случаях и порядке, предусмотренных законодательством.</w:t>
      </w:r>
    </w:p>
    <w:p>
      <w:pPr>
        <w:pStyle w:val="Heading1"/>
      </w:pPr>
      <w:r>
        <w:t>12. Команда, PWA и Push-уведомления</w:t>
      </w:r>
    </w:p>
    <w:p>
      <w:r>
        <w:t>12.1. Для организации работы уполномоченных пользователей CRM может обрабатывать данные участников команды, их рабочие роли, настройки доступа и безопасные технические сведения о зарегистрированных устройствах.</w:t>
      </w:r>
    </w:p>
    <w:p>
      <w:r>
        <w:t>12.2. Push-уведомления предназначены для служебных пользователей системы. В уведомления по возможности не включаются избыточные персональные данные граждан; чувствительная информация должна открываться после авторизации в CRM.</w:t>
      </w:r>
    </w:p>
    <w:p>
      <w:r>
        <w:t>12.3. Технические секреты Push-подписок и закрытые криптографические ключи не должны публиковаться в пользовательском интерфейсе или общедоступных документах.</w:t>
      </w:r>
    </w:p>
    <w:p>
      <w:r>
        <w:t>12.4. Привязка устройства к аккаунту используется для доставки разрешённых служебных уведомлений и контроля безопасности доступа.</w:t>
      </w:r>
    </w:p>
    <w:p>
      <w:pPr>
        <w:pStyle w:val="Heading1"/>
      </w:pPr>
      <w:r>
        <w:t>13. Аналитика и обезличивание</w:t>
      </w:r>
    </w:p>
    <w:p>
      <w:r>
        <w:t>13.1. Информация об обращениях может использоваться для выявления повторяющихся проблем домов, улиц и территорий, анализа категорий и сроков, оценки динамики обращений и планирования работы по их разрешению.</w:t>
      </w:r>
    </w:p>
    <w:p>
      <w:r>
        <w:t>13.2. При подготовке публичной статистики Оператор использует агрегирование и/или обезличивание и не публикует ФИО, телефоны, Email, точный адрес гражданина либо содержание личного обращения без отдельного законного основания.</w:t>
      </w:r>
    </w:p>
    <w:p>
      <w:r>
        <w:t>13.3. CRM не предназначена для произвольного профилирования граждан по политическим взглядам, религиозным или философским убеждениям, национальности, состоянию здоровья, интимной жизни или иным специальным категориям данных.</w:t>
      </w:r>
    </w:p>
    <w:p>
      <w:pPr>
        <w:pStyle w:val="Heading1"/>
      </w:pPr>
      <w:r>
        <w:t>14. Cookie и технические журналы</w:t>
      </w:r>
    </w:p>
    <w:p>
      <w:r>
        <w:t>14.1. Сайт и CRM могут использовать функциональные cookie, идентификаторы сессий и иные технические данные, необходимые для авторизации, безопасности, предотвращения злоупотреблений, диагностики, стабильной работы и сохранения пользовательской сессии.</w:t>
      </w:r>
    </w:p>
    <w:p>
      <w:r>
        <w:t>14.2. Если на Сайте используются сторонние аналитические, CDN, почтовые, Push или иные сервисы, способные получать персональные данные или технические идентификаторы, их использование подлежит отдельной фактической оценке, отражению в документации Оператора и соблюдению требований к порученной обработке и трансграничной передаче, когда они применимы.</w:t>
      </w:r>
    </w:p>
    <w:p>
      <w:pPr>
        <w:pStyle w:val="Heading1"/>
      </w:pPr>
      <w:r>
        <w:t>15. Специальные категории персональных данных и биометрия</w:t>
      </w:r>
    </w:p>
    <w:p>
      <w:r>
        <w:t>15.1. Оператор не ставит целью сбор специальных категорий персональных данных о расовой или национальной принадлежности, политических взглядах, религиозных или философских убеждениях, состоянии здоровья и интимной жизни.</w:t>
      </w:r>
    </w:p>
    <w:p>
      <w:r>
        <w:t>15.2. Если гражданин самостоятельно включает такие сведения в текст обращения или документы, необходимость, допустимость и условия их дальнейшей обработки оцениваются отдельно. Избыточные сведения подлежат исключению из обработки, блокированию или удалению, если отсутствует законное основание для их сохранения.</w:t>
      </w:r>
    </w:p>
    <w:p>
      <w:r>
        <w:t>15.3. Обычные фотографии и документы не рассматриваются автоматически как биометрические персональные данные. CRM не использует изображения граждан для автоматической биометрической идентификации, если такая цель отдельно не предусмотрена и не обеспечена надлежащим правовым основанием.</w:t>
      </w:r>
    </w:p>
    <w:p>
      <w:pPr>
        <w:pStyle w:val="Heading1"/>
      </w:pPr>
      <w:r>
        <w:t>16. Передача данных компетентным органам и организациям</w:t>
      </w:r>
    </w:p>
    <w:p>
      <w:r>
        <w:t>16.1. Персональные данные могут предоставляться в необходимом и соразмерном объёме государственным органам, органам местного самоуправления, учреждениям, организациям и иным лицам, компетентным рассматривать соответствующий вопрос, если такая передача необходима для достижения заявленной законной цели и имеет надлежащее правовое основание.</w:t>
      </w:r>
    </w:p>
    <w:p>
      <w:r>
        <w:t>16.2. Оператор применяет принцип минимизации: адресату передаётся только та часть сведений, которая объективно необходима для рассмотрения конкретного вопроса.</w:t>
      </w:r>
    </w:p>
    <w:p>
      <w:r>
        <w:t>16.3. Персональные данные также могут быть предоставлены в случаях, прямо предусмотренных законодательством Российской Федерации, по законному требованию уполномоченного органа или суда.</w:t>
      </w:r>
    </w:p>
    <w:p>
      <w:pPr>
        <w:pStyle w:val="Heading1"/>
      </w:pPr>
      <w:r>
        <w:t>17. Порученная обработка и технические исполнители</w:t>
      </w:r>
    </w:p>
    <w:p>
      <w:r>
        <w:t>17.1. Для обеспечения работы сайта, хостинга, почтовой инфраструктуры, резервного копирования, технической поддержки и иных функций Оператор может привлекать лиц, осуществляющих обработку по поручению Оператора.</w:t>
      </w:r>
    </w:p>
    <w:p>
      <w:r>
        <w:t>17.2. При поручении обработки должны быть определены перечни данных и операций, цели обработки, требования конфиденциальности и безопасности, обязанность предоставлять подтверждение принятых мер и уведомлять Оператора об инцидентах в предусмотренных законом случаях.</w:t>
      </w:r>
    </w:p>
    <w:p>
      <w:r>
        <w:t>17.3. Конкретный перечень фактически привлекаемых обработчиков должен соответствовать реальной инфраструктуре и внутренним документам Оператора; настоящая Политика не должна использоваться для сокрытия передачи данных неуказанным или неоценённым сервисам.</w:t>
      </w:r>
    </w:p>
    <w:p>
      <w:pPr>
        <w:pStyle w:val="Heading1"/>
      </w:pPr>
      <w:r>
        <w:t>18. Трансграничная передача</w:t>
      </w:r>
    </w:p>
    <w:p>
      <w:r>
        <w:t>18.1. Трансграничная передача персональных данных допускается только при наличии законных оснований и выполнении требований законодательства Российской Федерации, включая отдельное уведомление уполномоченного органа в случаях, когда оно требуется.</w:t>
      </w:r>
    </w:p>
    <w:p>
      <w:r>
        <w:t>18.2. До подключения иностранного аналитического, почтового, Push, CDN, резервного или иного сервиса Оператор обязан оценить, возникает ли трансграничная передача, какие данные передаются, на каком основании и какие дополнительные действия обязательны.</w:t>
      </w:r>
    </w:p>
    <w:p>
      <w:pPr>
        <w:pStyle w:val="Heading1"/>
      </w:pPr>
      <w:r>
        <w:t>19. Локализация баз данных</w:t>
      </w:r>
    </w:p>
    <w:p>
      <w:r>
        <w:t>19.1. При сборе персональных данных граждан Российской Федерации, в том числе посредством сети Интернет, Оператор обеспечивает выполнение требований законодательства о записи, систематизации, накоплении, хранении, уточнении и извлечении таких данных с использованием баз данных, находящихся на территории Российской Федерации, в случаях и объёме, предусмотренных законом.</w:t>
      </w:r>
    </w:p>
    <w:p>
      <w:r>
        <w:t>19.2. Фактическое место нахождения основной базы, CRM, резервных копий, журналов и иных систем должно соответствовать сведениям, заявленным Оператором в установленном порядке.</w:t>
      </w:r>
    </w:p>
    <w:p>
      <w:pPr>
        <w:pStyle w:val="Heading1"/>
      </w:pPr>
      <w:r>
        <w:t>20. Сроки хранения</w:t>
      </w:r>
    </w:p>
    <w:p>
      <w:r>
        <w:t>20.1. Срок хранения определяется целью, правовым основанием, обязательными сроками и принципом минимизации. Данные не хранятся бессрочно «на всякий случай».</w:t>
      </w:r>
    </w:p>
    <w:tbl>
      <w:tblPr>
        <w:tblStyle w:val="TableGrid"/>
        <w:tblW w:type="auto" w:w="0"/>
        <w:jc w:val="center"/>
        <w:tblLook w:firstColumn="1" w:firstRow="1" w:lastColumn="0" w:lastRow="0" w:noHBand="0" w:noVBand="1" w:val="04A0"/>
      </w:tblPr>
      <w:tblGrid>
        <w:gridCol w:w="5071"/>
        <w:gridCol w:w="5071"/>
      </w:tblGrid>
      <w:tr>
        <w:tc>
          <w:tcPr>
            <w:tcW w:type="dxa" w:w="5071"/>
            <w:shd w:fill="DCE6F1"/>
          </w:tcPr>
          <w:p>
            <w:r>
              <w:rPr>
                <w:rFonts w:ascii="Liberation Sans" w:hAnsi="Liberation Sans"/>
                <w:b/>
                <w:sz w:val="17"/>
              </w:rPr>
              <w:t>Категория</w:t>
            </w:r>
          </w:p>
        </w:tc>
        <w:tc>
          <w:tcPr>
            <w:tcW w:type="dxa" w:w="5071"/>
            <w:shd w:fill="DCE6F1"/>
          </w:tcPr>
          <w:p>
            <w:r>
              <w:rPr>
                <w:rFonts w:ascii="Liberation Sans" w:hAnsi="Liberation Sans"/>
                <w:b/>
                <w:sz w:val="17"/>
              </w:rPr>
              <w:t>Срок/условие</w:t>
            </w:r>
          </w:p>
        </w:tc>
      </w:tr>
      <w:tr>
        <w:tc>
          <w:tcPr>
            <w:tcW w:type="dxa" w:w="5071"/>
          </w:tcPr>
          <w:p>
            <w:r>
              <w:rPr>
                <w:rFonts w:ascii="Liberation Sans" w:hAnsi="Liberation Sans"/>
                <w:sz w:val="17"/>
              </w:rPr>
              <w:t>Обращение, приложения и история</w:t>
            </w:r>
          </w:p>
        </w:tc>
        <w:tc>
          <w:tcPr>
            <w:tcW w:type="dxa" w:w="5071"/>
          </w:tcPr>
          <w:p>
            <w:r>
              <w:rPr>
                <w:rFonts w:ascii="Liberation Sans" w:hAnsi="Liberation Sans"/>
                <w:sz w:val="17"/>
              </w:rPr>
              <w:t>до достижения цели рассмотрения и завершения связанных действий; при отсутствии иного законного основания — прекращение обработки и уничтожение в срок, установленный ст. 21 № 152-ФЗ; если закон/архивные правила требуют более длительного хранения — применяется обязательный срок.</w:t>
            </w:r>
          </w:p>
        </w:tc>
      </w:tr>
      <w:tr>
        <w:tc>
          <w:tcPr>
            <w:tcW w:type="dxa" w:w="5071"/>
          </w:tcPr>
          <w:p>
            <w:r>
              <w:rPr>
                <w:rFonts w:ascii="Liberation Sans" w:hAnsi="Liberation Sans"/>
                <w:sz w:val="17"/>
              </w:rPr>
              <w:t>Email/телефон как канал связи</w:t>
            </w:r>
          </w:p>
        </w:tc>
        <w:tc>
          <w:tcPr>
            <w:tcW w:type="dxa" w:w="5071"/>
          </w:tcPr>
          <w:p>
            <w:r>
              <w:rPr>
                <w:rFonts w:ascii="Liberation Sans" w:hAnsi="Liberation Sans"/>
                <w:sz w:val="17"/>
              </w:rPr>
              <w:t>до отзыва соответствующего согласия либо до прекращения необходимости связи по обращению; сам факт отзыва фиксируется.</w:t>
            </w:r>
          </w:p>
        </w:tc>
      </w:tr>
      <w:tr>
        <w:tc>
          <w:tcPr>
            <w:tcW w:type="dxa" w:w="5071"/>
          </w:tcPr>
          <w:p>
            <w:r>
              <w:rPr>
                <w:rFonts w:ascii="Liberation Sans" w:hAnsi="Liberation Sans"/>
                <w:sz w:val="17"/>
              </w:rPr>
              <w:t>Учётная запись участника команды</w:t>
            </w:r>
          </w:p>
        </w:tc>
        <w:tc>
          <w:tcPr>
            <w:tcW w:type="dxa" w:w="5071"/>
          </w:tcPr>
          <w:p>
            <w:r>
              <w:rPr>
                <w:rFonts w:ascii="Liberation Sans" w:hAnsi="Liberation Sans"/>
                <w:sz w:val="17"/>
              </w:rPr>
              <w:t>до прекращения доступа; техническое завершение и отвязка — как правило, до 30 дней после деактивации.</w:t>
            </w:r>
          </w:p>
        </w:tc>
      </w:tr>
      <w:tr>
        <w:tc>
          <w:tcPr>
            <w:tcW w:type="dxa" w:w="5071"/>
          </w:tcPr>
          <w:p>
            <w:r>
              <w:rPr>
                <w:rFonts w:ascii="Liberation Sans" w:hAnsi="Liberation Sans"/>
                <w:sz w:val="17"/>
              </w:rPr>
              <w:t>Push-подписка устройства</w:t>
            </w:r>
          </w:p>
        </w:tc>
        <w:tc>
          <w:tcPr>
            <w:tcW w:type="dxa" w:w="5071"/>
          </w:tcPr>
          <w:p>
            <w:r>
              <w:rPr>
                <w:rFonts w:ascii="Liberation Sans" w:hAnsi="Liberation Sans"/>
                <w:sz w:val="17"/>
              </w:rPr>
              <w:t>до отключения/отзыва разрешения, отвязки устройства, удаления аккаунта или признания подписки недействующей.</w:t>
            </w:r>
          </w:p>
        </w:tc>
      </w:tr>
      <w:tr>
        <w:tc>
          <w:tcPr>
            <w:tcW w:type="dxa" w:w="5071"/>
          </w:tcPr>
          <w:p>
            <w:r>
              <w:rPr>
                <w:rFonts w:ascii="Liberation Sans" w:hAnsi="Liberation Sans"/>
                <w:sz w:val="17"/>
              </w:rPr>
              <w:t>Приглашение в команду</w:t>
            </w:r>
          </w:p>
        </w:tc>
        <w:tc>
          <w:tcPr>
            <w:tcW w:type="dxa" w:w="5071"/>
          </w:tcPr>
          <w:p>
            <w:r>
              <w:rPr>
                <w:rFonts w:ascii="Liberation Sans" w:hAnsi="Liberation Sans"/>
                <w:sz w:val="17"/>
              </w:rPr>
              <w:t>до истечения одноразового приглашения (обычно 24–72 часа); служебная запись о факте выдачи/отмены может сохраняться в журнале аудита.</w:t>
            </w:r>
          </w:p>
        </w:tc>
      </w:tr>
      <w:tr>
        <w:tc>
          <w:tcPr>
            <w:tcW w:type="dxa" w:w="5071"/>
          </w:tcPr>
          <w:p>
            <w:r>
              <w:rPr>
                <w:rFonts w:ascii="Liberation Sans" w:hAnsi="Liberation Sans"/>
                <w:sz w:val="17"/>
              </w:rPr>
              <w:t>Технические журналы</w:t>
            </w:r>
          </w:p>
        </w:tc>
        <w:tc>
          <w:tcPr>
            <w:tcW w:type="dxa" w:w="5071"/>
          </w:tcPr>
          <w:p>
            <w:r>
              <w:rPr>
                <w:rFonts w:ascii="Liberation Sans" w:hAnsi="Liberation Sans"/>
                <w:sz w:val="17"/>
              </w:rPr>
              <w:t>как правило, до 12 месяцев; дольше — только если журнал необходим для расследования инцидента, защиты прав или исполнения обязательного требования.</w:t>
            </w:r>
          </w:p>
        </w:tc>
      </w:tr>
      <w:tr>
        <w:tc>
          <w:tcPr>
            <w:tcW w:type="dxa" w:w="5071"/>
          </w:tcPr>
          <w:p>
            <w:r>
              <w:rPr>
                <w:rFonts w:ascii="Liberation Sans" w:hAnsi="Liberation Sans"/>
                <w:sz w:val="17"/>
              </w:rPr>
              <w:t>Временный PDF-отчёт</w:t>
            </w:r>
          </w:p>
        </w:tc>
        <w:tc>
          <w:tcPr>
            <w:tcW w:type="dxa" w:w="5071"/>
          </w:tcPr>
          <w:p>
            <w:r>
              <w:rPr>
                <w:rFonts w:ascii="Liberation Sans" w:hAnsi="Liberation Sans"/>
                <w:sz w:val="17"/>
              </w:rPr>
              <w:t>как правило, до 24 часов, после чего временный файл удаляется; запись аудита может сохраняться по сроку журнала безопасности.</w:t>
            </w:r>
          </w:p>
        </w:tc>
      </w:tr>
    </w:tbl>
    <w:p>
      <w:pPr>
        <w:pStyle w:val="Heading1"/>
      </w:pPr>
      <w:r>
        <w:t>21. Уточнение, блокирование, прекращение обработки и уничтожение</w:t>
      </w:r>
    </w:p>
    <w:p>
      <w:r>
        <w:t>21.1. При достижении цели, выявлении неправомерной обработки, отзыве согласия или поступлении законного требования субъекта Оператор действует в порядке и сроки, установленные законодательством.</w:t>
      </w:r>
    </w:p>
    <w:p>
      <w:r>
        <w:t>21.2. Отзыв согласия прекращает ту обработку, которая основана именно на согласии, если отсутствует иное законное основание для продолжения обработки.</w:t>
      </w:r>
    </w:p>
    <w:p>
      <w:r>
        <w:t>21.3. Если немедленное уничтожение невозможно из-за обязательного хранения либо иной прямо предусмотренной законом причины, Оператор ограничивает дальнейшее использование данных соответствующей целью и обеспечивает их защиту.</w:t>
      </w:r>
    </w:p>
    <w:p>
      <w:pPr>
        <w:pStyle w:val="Heading1"/>
      </w:pPr>
      <w:r>
        <w:t>22. Меры безопасности</w:t>
      </w:r>
    </w:p>
    <w:p>
      <w:pPr>
        <w:pStyle w:val="ListBullet"/>
      </w:pPr>
      <w:r>
        <w:t>разграничение прав доступа и предоставление доступа только уполномоченным пользователям;</w:t>
      </w:r>
    </w:p>
    <w:p>
      <w:pPr>
        <w:pStyle w:val="ListBullet"/>
      </w:pPr>
      <w:r>
        <w:t>учёт и журналирование действий с данными в информационной системе;</w:t>
      </w:r>
    </w:p>
    <w:p>
      <w:pPr>
        <w:pStyle w:val="ListBullet"/>
      </w:pPr>
      <w:r>
        <w:t>защита учётных записей и сессий;</w:t>
      </w:r>
    </w:p>
    <w:p>
      <w:pPr>
        <w:pStyle w:val="ListBullet"/>
      </w:pPr>
      <w:r>
        <w:t>применение технических мер против неправомерного и случайного доступа, изменения, удаления, копирования и распространения;</w:t>
      </w:r>
    </w:p>
    <w:p>
      <w:pPr>
        <w:pStyle w:val="ListBullet"/>
      </w:pPr>
      <w:r>
        <w:t>резервирование и восстановление в объёме, соответствующем реальным рискам и инфраструктуре;</w:t>
      </w:r>
    </w:p>
    <w:p>
      <w:pPr>
        <w:pStyle w:val="ListBullet"/>
      </w:pPr>
      <w:r>
        <w:t>контроль обновлений программного обеспечения и устранение выявленных уязвимостей;</w:t>
      </w:r>
    </w:p>
    <w:p>
      <w:pPr>
        <w:pStyle w:val="ListBullet"/>
      </w:pPr>
      <w:r>
        <w:t>обучение и организационные правила для пользователей CRM;</w:t>
      </w:r>
    </w:p>
    <w:p>
      <w:pPr>
        <w:pStyle w:val="ListBullet"/>
      </w:pPr>
      <w:r>
        <w:t>внутренний контроль и периодическая проверка соответствия фактической обработки настоящей Политике и локальным документам.</w:t>
      </w:r>
    </w:p>
    <w:p>
      <w:r>
        <w:t>22.2. Оператор не заявляет об «абсолютной безопасности», а принимает необходимые и достаточные правовые, организационные и технические меры в соответствии с применимыми требованиями законодательства и фактическими рисками.</w:t>
      </w:r>
    </w:p>
    <w:p>
      <w:pPr>
        <w:pStyle w:val="Heading1"/>
      </w:pPr>
      <w:r>
        <w:t>23. Реагирование на инциденты</w:t>
      </w:r>
    </w:p>
    <w:p>
      <w:r>
        <w:t>23.1. При выявлении неправомерной или случайной передачи, предоставления, распространения либо доступа к персональным данным, повлекших нарушение прав субъектов, Оператор документирует инцидент, принимает меры по ограничению последствий и выполняет установленные законом обязанности по уведомлению уполномоченного органа.</w:t>
      </w:r>
    </w:p>
    <w:p>
      <w:r>
        <w:t>23.2. В случаях, подпадающих под часть 3.1 статьи 21 № 152-ФЗ, первичное уведомление направляется в течение 24 часов с момента выявления инцидента, а результаты внутреннего расследования — в течение 72 часов.</w:t>
      </w:r>
    </w:p>
    <w:p>
      <w:pPr>
        <w:pStyle w:val="Heading1"/>
      </w:pPr>
      <w:r>
        <w:t>24. Права субъекта персональных данных</w:t>
      </w:r>
    </w:p>
    <w:p>
      <w:pPr>
        <w:pStyle w:val="ListBullet"/>
      </w:pPr>
      <w:r>
        <w:t>получать сведения об обработке его персональных данных в предусмотренном законом объёме;</w:t>
      </w:r>
    </w:p>
    <w:p>
      <w:pPr>
        <w:pStyle w:val="ListBullet"/>
      </w:pPr>
      <w:r>
        <w:t>требовать уточнения неполных, устаревших или неточных данных;</w:t>
      </w:r>
    </w:p>
    <w:p>
      <w:pPr>
        <w:pStyle w:val="ListBullet"/>
      </w:pPr>
      <w:r>
        <w:t>требовать блокирования или уничтожения данных при наличии предусмотренных законом оснований;</w:t>
      </w:r>
    </w:p>
    <w:p>
      <w:pPr>
        <w:pStyle w:val="ListBullet"/>
      </w:pPr>
      <w:r>
        <w:t>требовать прекращения обработки в предусмотренных законом случаях;</w:t>
      </w:r>
    </w:p>
    <w:p>
      <w:pPr>
        <w:pStyle w:val="ListBullet"/>
      </w:pPr>
      <w:r>
        <w:t>отозвать ранее данное согласие;</w:t>
      </w:r>
    </w:p>
    <w:p>
      <w:pPr>
        <w:pStyle w:val="ListBullet"/>
      </w:pPr>
      <w:r>
        <w:t>получать информацию о целях, основаниях, способах и сроках обработки;</w:t>
      </w:r>
    </w:p>
    <w:p>
      <w:pPr>
        <w:pStyle w:val="ListBullet"/>
      </w:pPr>
      <w:r>
        <w:t>обжаловать действия или бездействие Оператора в Роскомнадзор или в судебном порядке;</w:t>
      </w:r>
    </w:p>
    <w:p>
      <w:pPr>
        <w:pStyle w:val="ListBullet"/>
      </w:pPr>
      <w:r>
        <w:t>реализовывать иные права, предусмотренные законодательством Российской Федерации.</w:t>
      </w:r>
    </w:p>
    <w:p>
      <w:pPr>
        <w:pStyle w:val="Heading1"/>
      </w:pPr>
      <w:r>
        <w:t>25. Согласие на обработку и его отзыв</w:t>
      </w:r>
    </w:p>
    <w:p>
      <w:r>
        <w:t>25.1. Если обработка основана на согласии, оно должно быть свободным, конкретным, предметным, информированным, сознательным и однозначным, а также оформляться отдельно от иных документов и информации, которые подтверждает субъект.</w:t>
      </w:r>
    </w:p>
    <w:p>
      <w:r>
        <w:t>25.2. CRM должна сохранять доказательства получения согласия: вид согласия, версию текста, дату и время, способ получения, при необходимости пользователя CRM, при котором получено личное подтверждение, а также сведения об отзыве.</w:t>
      </w:r>
    </w:p>
    <w:p>
      <w:r>
        <w:t>25.3. Согласие на получение Email по обращению является отдельным от согласия на обработку персональных данных и может быть отозвано независимо.</w:t>
      </w:r>
    </w:p>
    <w:p>
      <w:r>
        <w:t>25.4. Отозвать согласие можно направлением сообщения на andrey@dobrynin64.ru с информацией, позволяющей идентифицировать соответствующую запись и характер отзыва. Оператор вправе запросить разумные дополнительные сведения для подтверждения личности заявителя и предотвращения неправомерного изменения данных другого лица.</w:t>
      </w:r>
    </w:p>
    <w:p>
      <w:pPr>
        <w:pStyle w:val="Heading1"/>
      </w:pPr>
      <w:r>
        <w:t>26. Порядок обращений субъекта к Оператору</w:t>
      </w:r>
    </w:p>
    <w:p>
      <w:r>
        <w:t>26.1. Запросы по вопросам обработки, уточнения, прекращения обработки, отзыва согласия и реализации иных прав направляются на электронную почту andrey@dobrynin64.ru.</w:t>
      </w:r>
    </w:p>
    <w:p>
      <w:r>
        <w:t>26.2. Запрос должен позволять идентифицировать субъекта и соответствующие отношения с Оператором. В случаях, предусмотренных законом, Оператор вправе запросить дополнительные сведения, необходимые для подтверждения личности или полномочий представителя.</w:t>
      </w:r>
    </w:p>
    <w:p>
      <w:r>
        <w:t>26.3. Ответ предоставляется в сроки и порядке, установленные применимым законодательством.</w:t>
      </w:r>
    </w:p>
    <w:p>
      <w:pPr>
        <w:pStyle w:val="Heading1"/>
      </w:pPr>
      <w:r>
        <w:t>27. Уведомление Роскомнадзора и соответствие фактической обработке</w:t>
      </w:r>
    </w:p>
    <w:p>
      <w:r>
        <w:t>27.1. Оператор исполняет обязанность по уведомлению уполномоченного органа об обработке персональных данных и актуализации сведений в случаях, установленных статьёй 22 № 152-ФЗ.</w:t>
      </w:r>
    </w:p>
    <w:p>
      <w:r>
        <w:t>27.2. Цели обработки, категории субъектов и данных, способы обработки, местонахождение баз и иные сведения, заявленные уполномоченному органу, должны соответствовать фактической архитектуре Сайта и CRM.</w:t>
      </w:r>
    </w:p>
    <w:p>
      <w:r>
        <w:t>27.3. Подключение новых внешних сервисов, изменение целей, состава данных или способов обработки требует предварительной проверки необходимости актуализации уведомления и настоящей Политики.</w:t>
      </w:r>
    </w:p>
    <w:p>
      <w:pPr>
        <w:pStyle w:val="Heading1"/>
      </w:pPr>
      <w:r>
        <w:t>28. Изменение Политики</w:t>
      </w:r>
    </w:p>
    <w:p>
      <w:r>
        <w:t>28.1. Оператор пересматривает Политику при изменении законодательства, фактических процессов обработки, архитектуры CRM, состава внешних сервисов или иных обстоятельств, влияющих на права субъектов.</w:t>
      </w:r>
    </w:p>
    <w:p>
      <w:r>
        <w:t>28.2. Новая редакция вступает в силу с даты её публикации, если в ней не указано иное.</w:t>
      </w:r>
    </w:p>
    <w:p>
      <w:r>
        <w:t>28.3. Простое продолжение использования Сайта после изменения Политики не считается автоматическим согласием на новую самостоятельную цель обработки. Если для новой цели требуется согласие, оно запрашивается отдельно.</w:t>
      </w:r>
    </w:p>
    <w:p>
      <w:pPr>
        <w:pStyle w:val="Heading1"/>
      </w:pPr>
      <w:r>
        <w:t>29. Заключительные положения и реквизиты редакции</w:t>
      </w:r>
    </w:p>
    <w:p>
      <w:r>
        <w:t>29.1. Настоящая Политика публикуется в открытом доступе на Сайте.</w:t>
      </w:r>
    </w:p>
    <w:p>
      <w:r>
        <w:t>29.2. Если отдельное положение Политики расходится с обязательным требованием законодательства, применяется обязательное требование, а Политика подлежит актуализации.</w:t>
      </w:r>
    </w:p>
    <w:p>
      <w:r>
        <w:t>29.3. Оператор: Добрынин Андрей Владимирович.</w:t>
      </w:r>
    </w:p>
    <w:p>
      <w:r>
        <w:t xml:space="preserve">29.4. Сайт: </w:t>
      </w:r>
      <w:hyperlink r:id="rId10">
        <w:r>
          <w:rPr>
            <w:color w:val="1F4E79"/>
            <w:u w:val="single"/>
            <w:rFonts w:ascii="Liberation Sans" w:hAnsi="Liberation Sans" w:eastAsia="Liberation Sans"/>
            <w:sz w:val="20"/>
          </w:rPr>
          <w:t>https://dobrynin64.ru/</w:t>
        </w:r>
      </w:hyperlink>
    </w:p>
    <w:p>
      <w:r>
        <w:t xml:space="preserve">29.5. Email по вопросам обработки персональных данных: </w:t>
      </w:r>
      <w:hyperlink r:id="rId11">
        <w:r>
          <w:rPr>
            <w:color w:val="1F4E79"/>
            <w:u w:val="single"/>
            <w:rFonts w:ascii="Liberation Sans" w:hAnsi="Liberation Sans" w:eastAsia="Liberation Sans"/>
            <w:sz w:val="20"/>
          </w:rPr>
          <w:t>andrey@dobrynin64.ru</w:t>
        </w:r>
      </w:hyperlink>
    </w:p>
    <w:p>
      <w:r>
        <w:t>29.6. Редакция документа: 2026-08-08.</w:t>
      </w:r>
    </w:p>
    <w:p>
      <w:r>
        <w:br w:type="page"/>
      </w:r>
    </w:p>
    <w:p>
      <w:pPr>
        <w:pStyle w:val="Heading1"/>
      </w:pPr>
      <w:r>
        <w:t>Приложение 1. Рекомендуемый текст отдельного электронного согласия на обработку персональных данных</w:t>
      </w:r>
    </w:p>
    <w:p>
      <w:r>
        <w:t>Применять только для целей, для которых согласие действительно является правовым основанием и не требуется специальная письменная форма. Текст согласия должен отображаться отдельно и не быть заранее отмечен.</w:t>
      </w:r>
    </w:p>
    <w:tbl>
      <w:tblPr>
        <w:tblStyle w:val="TableGrid"/>
        <w:tblW w:type="auto" w:w="0"/>
        <w:tblLook w:firstColumn="1" w:firstRow="1" w:lastColumn="0" w:lastRow="0" w:noHBand="0" w:noVBand="1" w:val="04A0"/>
      </w:tblPr>
      <w:tblGrid>
        <w:gridCol w:w="10142"/>
      </w:tblGrid>
      <w:tr>
        <w:tc>
          <w:tcPr>
            <w:tcW w:type="dxa" w:w="10142"/>
            <w:shd w:fill="F7F9FB"/>
          </w:tcPr>
          <w:p>
            <w:r>
              <w:t>☐ Я свободно, своей волей и в своём интересе даю Добрынину Андрею Владимировичу согласие на обработку предоставленных мной персональных данных в целях регистрации, рассмотрения и сопровождения моего обращения, организации обратной связи, контроля сроков и фиксации результата работы по обращению.</w:t>
              <w:br/>
              <w:br/>
              <w:t>В состав данных могут входить: мои ФИО, контактный телефон, адрес электронной почты, адрес, сведения и материалы, содержащиеся в обращении, а также сведения о ходе его рассмотрения. Допускаются действия: сбор, запись, систематизация, накопление, хранение, уточнение, извлечение, использование, предоставление в необходимом объёме компетентным организациям для рассмотрения моего вопроса, блокирование, удаление и уничтожение. Обработка может осуществляться с использованием средств автоматизации и без них.</w:t>
              <w:br/>
              <w:br/>
              <w:t>Согласие действует до достижения цели обработки либо до моего отзыва, если отсутствуют иные законные основания для продолжения обработки. Я уведомлён(а), что могу отозвать согласие по адресу andrey@dobrynin64.ru. Я ознакомлен(а) с Политикой обработки персональных данных: https://dobrynin64.ru/privacy-policy/.</w:t>
            </w:r>
          </w:p>
        </w:tc>
      </w:tr>
    </w:tbl>
    <w:p>
      <w:pPr>
        <w:pStyle w:val="Heading1"/>
      </w:pPr>
      <w:r>
        <w:t>Приложение 2. Отдельное добровольное согласие на Email по обращению</w:t>
      </w:r>
    </w:p>
    <w:tbl>
      <w:tblPr>
        <w:tblStyle w:val="TableGrid"/>
        <w:tblW w:type="auto" w:w="0"/>
        <w:tblLook w:firstColumn="1" w:firstRow="1" w:lastColumn="0" w:lastRow="0" w:noHBand="0" w:noVBand="1" w:val="04A0"/>
      </w:tblPr>
      <w:tblGrid>
        <w:gridCol w:w="10142"/>
      </w:tblGrid>
      <w:tr>
        <w:tc>
          <w:tcPr>
            <w:tcW w:type="dxa" w:w="10142"/>
            <w:shd w:fill="F7F9FB"/>
          </w:tcPr>
          <w:p>
            <w:r>
              <w:t>☐ Я согласен(на) получать по указанному мной адресу электронной почты сообщения, непосредственно связанные с моими обращениями: подтверждение регистрации и номер обращения, сведения о ходе рассмотрения, запросы дополнительных данных, информацию о результате, а также согласованные приглашения на встречу или приём.</w:t>
              <w:br/>
              <w:br/>
              <w:t>Это согласие является добровольным и не является согласием на рекламные или политические рассылки. Я могу отказаться от Email-уведомлений в любое время, направив сообщение на andrey@dobrynin64.ru; отказ от Email сам по себе не означает отзыв моего обращения.</w:t>
            </w:r>
          </w:p>
        </w:tc>
      </w:tr>
    </w:tbl>
    <w:p>
      <w:pPr>
        <w:pStyle w:val="Heading1"/>
      </w:pPr>
      <w:r>
        <w:t>Приложение 3. Требования к фиксации согласия в CRM</w:t>
      </w:r>
    </w:p>
    <w:p>
      <w:pPr>
        <w:pStyle w:val="ListBullet"/>
      </w:pPr>
      <w:r>
        <w:t>галочка не установлена заранее;</w:t>
      </w:r>
    </w:p>
    <w:p>
      <w:pPr>
        <w:pStyle w:val="ListBullet"/>
      </w:pPr>
      <w:r>
        <w:t>текст согласия показывается отдельно от иных документов;</w:t>
      </w:r>
    </w:p>
    <w:p>
      <w:pPr>
        <w:pStyle w:val="ListBullet"/>
      </w:pPr>
      <w:r>
        <w:t>сохраняются версия текста, дата, время и способ подтверждения;</w:t>
      </w:r>
    </w:p>
    <w:p>
      <w:pPr>
        <w:pStyle w:val="ListBullet"/>
      </w:pPr>
      <w:r>
        <w:t>при личном подтверждении на устройстве фиксируется факт подтверждения субъектом, а не только действие сотрудника;</w:t>
      </w:r>
    </w:p>
    <w:p>
      <w:pPr>
        <w:pStyle w:val="ListBullet"/>
      </w:pPr>
      <w:r>
        <w:t>сохраняется ссылка/идентификатор действующей редакции Политики;</w:t>
      </w:r>
    </w:p>
    <w:p>
      <w:pPr>
        <w:pStyle w:val="ListBullet"/>
      </w:pPr>
      <w:r>
        <w:t>отзыв фиксируется отдельным событием, прежняя запись не переписывается бесследно.</w:t>
      </w:r>
    </w:p>
    <w:sectPr w:rsidR="00FC693F" w:rsidRPr="0006063C" w:rsidSect="00034616">
      <w:footerReference w:type="default" r:id="rId9"/>
      <w:pgSz w:w="12240" w:h="15840"/>
      <w:pgMar w:top="964" w:right="96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color w:val="646464"/>
        <w:sz w:val="16"/>
      </w:rPr>
      <w:t>Политика обработки персональных данных • dobrynin64.ru • редакция 2026-08-08</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iberation Sans" w:hAnsi="Liberation Sans" w:eastAsia="Liberation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Liberation Sans" w:hAnsi="Liberation Sans" w:eastAsia="Liberation Sans"/>
      <w:b/>
      <w:bCs/>
      <w:color w:val="12355B"/>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Liberation Sans" w:hAnsi="Liberation Sans" w:eastAsia="Liberation Sans"/>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eastAsia="Liberation Sans"/>
      <w:b/>
      <w:color w:val="12355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Liberation Sans" w:hAnsi="Liberation Sans" w:eastAsia="Liberation Sans"/>
      <w:color w:val="5A646E"/>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brynin64.ru/" TargetMode="External"/><Relationship Id="rId11" Type="http://schemas.openxmlformats.org/officeDocument/2006/relationships/hyperlink" Target="mailto:andrey@dobrynin64.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